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BF1183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Teaching College-Level Science and Engineering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5.95J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Graduate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None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2-0-2 [P/D/F]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  <w:t>TBA.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L. </w:t>
      </w:r>
      <w:proofErr w:type="spellStart"/>
      <w:r>
        <w:t>Breslow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>Participatory seminar focuses on the knowledge and skills necessary for teaching science and engineering in higher education. Topics include: theories of adult learning; course development; promoting active learning, problem solving, and critical thinking in students; communicating with a diverse student body; using educational technology to further learning; lecturing; creating effective tests and assignments; and assessment and evaluation. Students research and present a relevant topic of particular interest. Subject is appropriate for both novices and those with teaching experience.</w:t>
      </w:r>
      <w:r>
        <w:br/>
      </w:r>
      <w:r>
        <w:br/>
      </w:r>
      <w:r>
        <w:t>备注（</w:t>
      </w:r>
      <w:r>
        <w:t>notes</w:t>
      </w:r>
      <w:r>
        <w:t>）</w:t>
      </w:r>
      <w:r>
        <w:br/>
        <w:t>Same subject as 6.982J, 7.59J, 8.395J, 18.094J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None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BA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55ABA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BF118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P R C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2017-06-29T07:15:00Z</dcterms:created>
  <dcterms:modified xsi:type="dcterms:W3CDTF">2017-06-29T07:15:00Z</dcterms:modified>
</cp:coreProperties>
</file>